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3C2B">
      <w:pPr>
        <w:jc w:val="center"/>
        <w:rPr>
          <w:rFonts w:ascii="宋体" w:hAnsi="宋体" w:eastAsia="宋体"/>
          <w:color w:val="auto"/>
          <w:sz w:val="32"/>
          <w:szCs w:val="32"/>
        </w:rPr>
      </w:pPr>
    </w:p>
    <w:p w14:paraId="30C816F0">
      <w:pPr>
        <w:jc w:val="center"/>
        <w:rPr>
          <w:rFonts w:ascii="宋体" w:hAnsi="宋体" w:eastAsia="宋体"/>
          <w:b/>
          <w:color w:val="auto"/>
          <w:sz w:val="44"/>
          <w:szCs w:val="44"/>
        </w:rPr>
      </w:pPr>
    </w:p>
    <w:p w14:paraId="4E8DF811">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《广东省注册会计师协会行业研究课题管理办法》修订说明</w:t>
      </w:r>
    </w:p>
    <w:p w14:paraId="5745E5C2">
      <w:pPr>
        <w:jc w:val="center"/>
        <w:rPr>
          <w:rFonts w:ascii="宋体" w:hAnsi="宋体" w:eastAsia="宋体"/>
          <w:b/>
          <w:color w:val="auto"/>
          <w:sz w:val="44"/>
          <w:szCs w:val="44"/>
        </w:rPr>
      </w:pPr>
    </w:p>
    <w:p w14:paraId="35B6115B">
      <w:pPr>
        <w:rPr>
          <w:rFonts w:ascii="仿宋" w:hAnsi="仿宋" w:eastAsia="仿宋"/>
          <w:color w:val="auto"/>
          <w:sz w:val="32"/>
          <w:szCs w:val="32"/>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为进一步规范省注协课题管理流程，提升行业研究课题的质量和管理效能，结合行业发展趋势及省注协实际管理需要，省注协秘书处启动对《广东省注册会计师协会行业研究课题管理暂行办法》进行修订，</w:t>
      </w:r>
      <w:r>
        <w:rPr>
          <w:rFonts w:hint="eastAsia" w:ascii="仿宋" w:hAnsi="仿宋" w:eastAsia="仿宋"/>
          <w:color w:val="auto"/>
          <w:sz w:val="32"/>
          <w:szCs w:val="32"/>
          <w:lang w:val="en-US" w:eastAsia="zh-CN"/>
        </w:rPr>
        <w:t>形成《</w:t>
      </w:r>
      <w:r>
        <w:rPr>
          <w:rFonts w:hint="eastAsia" w:ascii="仿宋_GB2312" w:hAnsi="仿宋_GB2312" w:eastAsia="仿宋_GB2312" w:cs="仿宋_GB2312"/>
          <w:b w:val="0"/>
          <w:bCs/>
          <w:color w:val="auto"/>
          <w:sz w:val="32"/>
          <w:szCs w:val="32"/>
        </w:rPr>
        <w:t>广东省注册会计师协会行业研究课题管理办法</w:t>
      </w:r>
      <w:r>
        <w:rPr>
          <w:rFonts w:hint="eastAsia" w:ascii="仿宋" w:hAnsi="仿宋" w:eastAsia="仿宋"/>
          <w:color w:val="auto"/>
          <w:sz w:val="32"/>
          <w:szCs w:val="32"/>
          <w:lang w:val="en-US" w:eastAsia="zh-CN"/>
        </w:rPr>
        <w:t>》（</w:t>
      </w:r>
      <w:r>
        <w:rPr>
          <w:rFonts w:hint="eastAsia" w:ascii="仿宋" w:hAnsi="仿宋" w:eastAsia="仿宋"/>
          <w:color w:val="auto"/>
          <w:sz w:val="32"/>
          <w:szCs w:val="32"/>
        </w:rPr>
        <w:t>以下简称《课题办法》</w:t>
      </w:r>
      <w:r>
        <w:rPr>
          <w:rFonts w:hint="eastAsia" w:ascii="仿宋" w:hAnsi="仿宋" w:eastAsia="仿宋"/>
          <w:color w:val="auto"/>
          <w:sz w:val="32"/>
          <w:szCs w:val="32"/>
          <w:lang w:val="en-US" w:eastAsia="zh-CN"/>
        </w:rPr>
        <w:t>）。</w:t>
      </w:r>
      <w:r>
        <w:rPr>
          <w:rFonts w:hint="eastAsia" w:ascii="仿宋" w:hAnsi="仿宋" w:eastAsia="仿宋"/>
          <w:color w:val="auto"/>
          <w:sz w:val="32"/>
          <w:szCs w:val="32"/>
        </w:rPr>
        <w:t>现将有关修订情况说明如下：</w:t>
      </w:r>
    </w:p>
    <w:p w14:paraId="408F3862">
      <w:pPr>
        <w:pStyle w:val="4"/>
        <w:numPr>
          <w:ilvl w:val="0"/>
          <w:numId w:val="0"/>
        </w:numPr>
        <w:ind w:left="1365" w:leftChars="0" w:hanging="720" w:firstLineChars="0"/>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rPr>
        <w:t>修订背景</w:t>
      </w:r>
    </w:p>
    <w:p w14:paraId="211EAF69">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《广东省注册会计师协会行业研究课题管理暂行办法》发布以来，有效调动行业会员，特别是协会理事</w:t>
      </w:r>
      <w:r>
        <w:rPr>
          <w:rFonts w:hint="eastAsia" w:ascii="仿宋" w:hAnsi="仿宋" w:eastAsia="仿宋"/>
          <w:color w:val="auto"/>
          <w:sz w:val="32"/>
          <w:szCs w:val="32"/>
          <w:lang w:eastAsia="zh-CN"/>
        </w:rPr>
        <w:t>、</w:t>
      </w:r>
      <w:r>
        <w:rPr>
          <w:rFonts w:hint="eastAsia" w:ascii="仿宋" w:hAnsi="仿宋" w:eastAsia="仿宋"/>
          <w:color w:val="auto"/>
          <w:sz w:val="32"/>
          <w:szCs w:val="32"/>
        </w:rPr>
        <w:t>常务理事参与行业难点热点</w:t>
      </w:r>
      <w:r>
        <w:rPr>
          <w:rFonts w:hint="eastAsia" w:ascii="仿宋" w:hAnsi="仿宋" w:eastAsia="仿宋"/>
          <w:color w:val="auto"/>
          <w:sz w:val="32"/>
          <w:szCs w:val="32"/>
          <w:lang w:eastAsia="zh-CN"/>
        </w:rPr>
        <w:t>问题</w:t>
      </w:r>
      <w:r>
        <w:rPr>
          <w:rFonts w:hint="eastAsia" w:ascii="仿宋" w:hAnsi="仿宋" w:eastAsia="仿宋"/>
          <w:color w:val="auto"/>
          <w:sz w:val="32"/>
          <w:szCs w:val="32"/>
        </w:rPr>
        <w:t>研究的积极性，规范行业研究课题管理工作，形成了</w:t>
      </w:r>
      <w:r>
        <w:rPr>
          <w:rFonts w:hint="eastAsia" w:ascii="仿宋" w:hAnsi="仿宋" w:eastAsia="仿宋"/>
          <w:color w:val="auto"/>
          <w:sz w:val="32"/>
          <w:szCs w:val="32"/>
          <w:lang w:val="en-US" w:eastAsia="zh-CN"/>
        </w:rPr>
        <w:t>一批</w:t>
      </w:r>
      <w:r>
        <w:rPr>
          <w:rFonts w:hint="eastAsia" w:ascii="仿宋" w:hAnsi="仿宋" w:eastAsia="仿宋"/>
          <w:color w:val="auto"/>
          <w:sz w:val="32"/>
          <w:szCs w:val="32"/>
        </w:rPr>
        <w:t>具有参考价值及对行业专业能力提升具有积极作用的行业课题研究成果。但在运作过程中也存在个别</w:t>
      </w:r>
      <w:r>
        <w:rPr>
          <w:rFonts w:hint="eastAsia" w:ascii="仿宋" w:hAnsi="仿宋" w:eastAsia="仿宋"/>
          <w:color w:val="auto"/>
          <w:sz w:val="32"/>
          <w:szCs w:val="32"/>
          <w:lang w:val="en-US" w:eastAsia="zh-CN"/>
        </w:rPr>
        <w:t>已</w:t>
      </w:r>
      <w:r>
        <w:rPr>
          <w:rFonts w:hint="eastAsia" w:ascii="仿宋" w:hAnsi="仿宋" w:eastAsia="仿宋"/>
          <w:color w:val="auto"/>
          <w:sz w:val="32"/>
          <w:szCs w:val="32"/>
        </w:rPr>
        <w:t>立项课题无法结题、课题经费与课题质量不挂钩、课题中期管理不足、课题成果运用途径较窄，激励机制不足等问题，需要修订课题办法补充完善，提升课题管理的效率和行业研究课题的质量。</w:t>
      </w:r>
    </w:p>
    <w:p w14:paraId="558FB51A">
      <w:pPr>
        <w:pStyle w:val="4"/>
        <w:numPr>
          <w:ilvl w:val="0"/>
          <w:numId w:val="0"/>
        </w:numPr>
        <w:ind w:left="1365" w:leftChars="0" w:hanging="720" w:firstLineChars="0"/>
        <w:rPr>
          <w:rFonts w:hint="eastAsia" w:ascii="黑体" w:hAnsi="黑体" w:eastAsia="黑体" w:cs="黑体"/>
          <w:color w:val="auto"/>
          <w:kern w:val="2"/>
          <w:sz w:val="32"/>
          <w:szCs w:val="32"/>
          <w:lang w:val="en-US" w:eastAsia="zh-CN" w:bidi="ar-SA"/>
        </w:rPr>
      </w:pPr>
      <w:r>
        <w:rPr>
          <w:rFonts w:hint="default" w:ascii="黑体" w:hAnsi="黑体" w:eastAsia="黑体" w:cs="黑体"/>
          <w:color w:val="auto"/>
          <w:kern w:val="2"/>
          <w:sz w:val="32"/>
          <w:szCs w:val="32"/>
          <w:lang w:val="en-US" w:eastAsia="zh-CN" w:bidi="ar-SA"/>
        </w:rPr>
        <w:t>二、</w:t>
      </w:r>
      <w:r>
        <w:rPr>
          <w:rFonts w:hint="eastAsia" w:ascii="黑体" w:hAnsi="黑体" w:eastAsia="黑体" w:cs="黑体"/>
          <w:color w:val="auto"/>
          <w:kern w:val="2"/>
          <w:sz w:val="32"/>
          <w:szCs w:val="32"/>
          <w:lang w:val="en-US" w:eastAsia="zh-CN" w:bidi="ar-SA"/>
        </w:rPr>
        <w:t>修订的主要内容</w:t>
      </w:r>
    </w:p>
    <w:p w14:paraId="6035F484">
      <w:pPr>
        <w:ind w:firstLine="643" w:firstLineChars="200"/>
        <w:rPr>
          <w:rFonts w:hint="eastAsia" w:ascii="仿宋" w:hAnsi="仿宋" w:eastAsia="仿宋"/>
          <w:color w:val="auto"/>
          <w:sz w:val="32"/>
          <w:szCs w:val="32"/>
          <w:lang w:val="en-US" w:eastAsia="zh-CN"/>
        </w:rPr>
      </w:pPr>
      <w:r>
        <w:rPr>
          <w:rFonts w:hint="eastAsia" w:ascii="楷体_GB2312" w:hAnsi="楷体_GB2312" w:eastAsia="楷体_GB2312" w:cs="楷体_GB2312"/>
          <w:b/>
          <w:bCs/>
          <w:color w:val="auto"/>
          <w:sz w:val="32"/>
          <w:szCs w:val="32"/>
        </w:rPr>
        <w:t>（一）优化管理架构。</w:t>
      </w:r>
      <w:r>
        <w:rPr>
          <w:rFonts w:hint="eastAsia" w:ascii="仿宋" w:hAnsi="仿宋" w:eastAsia="仿宋"/>
          <w:color w:val="auto"/>
          <w:sz w:val="32"/>
          <w:szCs w:val="32"/>
        </w:rPr>
        <w:t>一是由</w:t>
      </w:r>
      <w:r>
        <w:rPr>
          <w:rFonts w:hint="eastAsia" w:ascii="仿宋" w:hAnsi="仿宋" w:eastAsia="仿宋"/>
          <w:color w:val="auto"/>
          <w:sz w:val="32"/>
          <w:szCs w:val="32"/>
          <w:lang w:eastAsia="zh-CN"/>
        </w:rPr>
        <w:t>省注协</w:t>
      </w:r>
      <w:r>
        <w:rPr>
          <w:rFonts w:hint="eastAsia" w:ascii="仿宋" w:hAnsi="仿宋" w:eastAsia="仿宋"/>
          <w:color w:val="auto"/>
          <w:sz w:val="32"/>
          <w:szCs w:val="32"/>
        </w:rPr>
        <w:t>秘书处指定对口部门对接重点课题，加强重点课题的管理。二是明确重点课题与自选课题</w:t>
      </w:r>
      <w:r>
        <w:rPr>
          <w:rFonts w:hint="eastAsia" w:ascii="仿宋" w:hAnsi="仿宋" w:eastAsia="仿宋"/>
          <w:color w:val="auto"/>
          <w:sz w:val="32"/>
          <w:szCs w:val="32"/>
          <w:lang w:eastAsia="zh-CN"/>
        </w:rPr>
        <w:t>、青年课题</w:t>
      </w:r>
      <w:r>
        <w:rPr>
          <w:rFonts w:hint="eastAsia" w:ascii="仿宋" w:hAnsi="仿宋" w:eastAsia="仿宋"/>
          <w:color w:val="auto"/>
          <w:sz w:val="32"/>
          <w:szCs w:val="32"/>
        </w:rPr>
        <w:t>的推选</w:t>
      </w:r>
      <w:r>
        <w:rPr>
          <w:rFonts w:hint="eastAsia" w:ascii="仿宋" w:hAnsi="仿宋" w:eastAsia="仿宋"/>
          <w:color w:val="auto"/>
          <w:sz w:val="32"/>
          <w:szCs w:val="32"/>
          <w:lang w:val="en-US" w:eastAsia="zh-CN"/>
        </w:rPr>
        <w:t>对象</w:t>
      </w:r>
    </w:p>
    <w:p w14:paraId="76255E65">
      <w:pPr>
        <w:ind w:firstLine="643" w:firstLineChars="200"/>
        <w:rPr>
          <w:rFonts w:ascii="仿宋" w:hAnsi="仿宋" w:eastAsia="仿宋"/>
          <w:color w:val="auto"/>
          <w:sz w:val="32"/>
          <w:szCs w:val="32"/>
        </w:rPr>
      </w:pPr>
      <w:r>
        <w:rPr>
          <w:rFonts w:hint="eastAsia" w:ascii="楷体_GB2312" w:hAnsi="楷体_GB2312" w:eastAsia="楷体_GB2312" w:cs="楷体_GB2312"/>
          <w:b/>
          <w:bCs/>
          <w:color w:val="auto"/>
          <w:sz w:val="32"/>
          <w:szCs w:val="32"/>
        </w:rPr>
        <w:t>（二）规范申报主体。</w:t>
      </w:r>
      <w:r>
        <w:rPr>
          <w:rFonts w:hint="eastAsia" w:ascii="仿宋" w:hAnsi="仿宋" w:eastAsia="仿宋"/>
          <w:color w:val="auto"/>
          <w:sz w:val="32"/>
          <w:szCs w:val="32"/>
        </w:rPr>
        <w:t>根据课题办法的运作实际，明确将理事、省注协专门（专业）委员会</w:t>
      </w:r>
      <w:r>
        <w:rPr>
          <w:rFonts w:hint="eastAsia" w:ascii="仿宋" w:hAnsi="仿宋" w:eastAsia="仿宋"/>
          <w:color w:val="auto"/>
          <w:sz w:val="32"/>
          <w:szCs w:val="32"/>
          <w:lang w:eastAsia="zh-CN"/>
        </w:rPr>
        <w:t>、</w:t>
      </w:r>
      <w:r>
        <w:rPr>
          <w:rFonts w:hint="eastAsia" w:ascii="仿宋" w:hAnsi="仿宋" w:eastAsia="仿宋"/>
          <w:color w:val="auto"/>
          <w:sz w:val="32"/>
          <w:szCs w:val="32"/>
        </w:rPr>
        <w:t>市注协</w:t>
      </w:r>
      <w:r>
        <w:rPr>
          <w:rFonts w:hint="eastAsia" w:ascii="仿宋" w:hAnsi="仿宋" w:eastAsia="仿宋"/>
          <w:color w:val="auto"/>
          <w:sz w:val="32"/>
          <w:szCs w:val="32"/>
          <w:lang w:eastAsia="zh-CN"/>
        </w:rPr>
        <w:t>、</w:t>
      </w:r>
      <w:r>
        <w:rPr>
          <w:rFonts w:hint="eastAsia" w:ascii="仿宋" w:hAnsi="仿宋" w:eastAsia="仿宋"/>
          <w:color w:val="auto"/>
          <w:sz w:val="32"/>
          <w:szCs w:val="32"/>
        </w:rPr>
        <w:t>高等院校</w:t>
      </w:r>
      <w:r>
        <w:rPr>
          <w:rFonts w:hint="eastAsia" w:ascii="仿宋" w:hAnsi="仿宋" w:eastAsia="仿宋"/>
          <w:color w:val="auto"/>
          <w:sz w:val="32"/>
          <w:szCs w:val="32"/>
          <w:lang w:eastAsia="zh-CN"/>
        </w:rPr>
        <w:t>、科研机构、社会组织、企业</w:t>
      </w:r>
      <w:r>
        <w:rPr>
          <w:rFonts w:hint="eastAsia" w:ascii="仿宋" w:hAnsi="仿宋" w:eastAsia="仿宋"/>
          <w:color w:val="auto"/>
          <w:sz w:val="32"/>
          <w:szCs w:val="32"/>
        </w:rPr>
        <w:t>等单位</w:t>
      </w:r>
      <w:r>
        <w:rPr>
          <w:rFonts w:hint="eastAsia" w:ascii="仿宋" w:hAnsi="仿宋" w:eastAsia="仿宋"/>
          <w:color w:val="auto"/>
          <w:sz w:val="32"/>
          <w:szCs w:val="32"/>
          <w:lang w:eastAsia="zh-CN"/>
        </w:rPr>
        <w:t>作为</w:t>
      </w:r>
      <w:r>
        <w:rPr>
          <w:rFonts w:hint="eastAsia" w:ascii="仿宋" w:hAnsi="仿宋" w:eastAsia="仿宋"/>
          <w:color w:val="auto"/>
          <w:sz w:val="32"/>
          <w:szCs w:val="32"/>
        </w:rPr>
        <w:t>课题承研单位，同时增加专门（专业）委员会</w:t>
      </w:r>
      <w:r>
        <w:rPr>
          <w:rFonts w:hint="eastAsia" w:ascii="仿宋" w:hAnsi="仿宋" w:eastAsia="仿宋"/>
          <w:color w:val="auto"/>
          <w:sz w:val="32"/>
          <w:szCs w:val="32"/>
          <w:lang w:eastAsia="zh-CN"/>
        </w:rPr>
        <w:t>及委员所在单位</w:t>
      </w:r>
      <w:r>
        <w:rPr>
          <w:rFonts w:hint="eastAsia" w:ascii="仿宋" w:hAnsi="仿宋" w:eastAsia="仿宋"/>
          <w:color w:val="auto"/>
          <w:sz w:val="32"/>
          <w:szCs w:val="32"/>
        </w:rPr>
        <w:t>作为重点课题的承研单位。</w:t>
      </w:r>
    </w:p>
    <w:p w14:paraId="42E78A01">
      <w:pPr>
        <w:ind w:firstLine="643" w:firstLineChars="200"/>
        <w:rPr>
          <w:rFonts w:hint="eastAsia" w:ascii="仿宋" w:hAnsi="仿宋" w:eastAsia="仿宋"/>
          <w:color w:val="auto"/>
          <w:sz w:val="32"/>
          <w:szCs w:val="32"/>
        </w:rPr>
      </w:pPr>
      <w:r>
        <w:rPr>
          <w:rFonts w:hint="eastAsia" w:ascii="楷体_GB2312" w:hAnsi="楷体_GB2312" w:eastAsia="楷体_GB2312" w:cs="楷体_GB2312"/>
          <w:b/>
          <w:bCs/>
          <w:color w:val="auto"/>
          <w:sz w:val="32"/>
          <w:szCs w:val="32"/>
        </w:rPr>
        <w:t>（三）建立课题激励机制。</w:t>
      </w:r>
      <w:r>
        <w:rPr>
          <w:rFonts w:hint="eastAsia" w:ascii="仿宋" w:hAnsi="仿宋" w:eastAsia="仿宋"/>
          <w:color w:val="auto"/>
          <w:sz w:val="32"/>
          <w:szCs w:val="32"/>
        </w:rPr>
        <w:t>将课题经费的拨付与课题的质量挂钩，改变原课题办法立项委托即拨付5</w:t>
      </w:r>
      <w:r>
        <w:rPr>
          <w:rFonts w:ascii="仿宋" w:hAnsi="仿宋" w:eastAsia="仿宋"/>
          <w:color w:val="auto"/>
          <w:sz w:val="32"/>
          <w:szCs w:val="32"/>
        </w:rPr>
        <w:t>0%</w:t>
      </w:r>
      <w:r>
        <w:rPr>
          <w:rFonts w:hint="eastAsia" w:ascii="仿宋" w:hAnsi="仿宋" w:eastAsia="仿宋"/>
          <w:color w:val="auto"/>
          <w:sz w:val="32"/>
          <w:szCs w:val="32"/>
        </w:rPr>
        <w:t>课题经费的方式，在课题结题的同时对课题质量进行评奖并</w:t>
      </w:r>
      <w:r>
        <w:rPr>
          <w:rFonts w:hint="eastAsia" w:ascii="仿宋" w:hAnsi="仿宋" w:eastAsia="仿宋"/>
          <w:color w:val="auto"/>
          <w:sz w:val="32"/>
          <w:szCs w:val="32"/>
          <w:lang w:eastAsia="zh-CN"/>
        </w:rPr>
        <w:t>给予</w:t>
      </w:r>
      <w:r>
        <w:rPr>
          <w:rFonts w:hint="eastAsia" w:ascii="仿宋" w:hAnsi="仿宋" w:eastAsia="仿宋"/>
          <w:color w:val="auto"/>
          <w:sz w:val="32"/>
          <w:szCs w:val="32"/>
        </w:rPr>
        <w:t>不超1</w:t>
      </w:r>
      <w:r>
        <w:rPr>
          <w:rFonts w:ascii="仿宋" w:hAnsi="仿宋" w:eastAsia="仿宋"/>
          <w:color w:val="auto"/>
          <w:sz w:val="32"/>
          <w:szCs w:val="32"/>
        </w:rPr>
        <w:t>0</w:t>
      </w:r>
      <w:r>
        <w:rPr>
          <w:rFonts w:hint="eastAsia" w:ascii="仿宋" w:hAnsi="仿宋" w:eastAsia="仿宋"/>
          <w:color w:val="auto"/>
          <w:sz w:val="32"/>
          <w:szCs w:val="32"/>
        </w:rPr>
        <w:t>万元的课题激励奖金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同时视课题质量给予已通过结项评审课题1-2万元的基础奖励</w:t>
      </w:r>
      <w:r>
        <w:rPr>
          <w:rFonts w:hint="eastAsia" w:ascii="仿宋" w:hAnsi="仿宋" w:eastAsia="仿宋"/>
          <w:color w:val="auto"/>
          <w:sz w:val="32"/>
          <w:szCs w:val="32"/>
        </w:rPr>
        <w:t>。</w:t>
      </w:r>
    </w:p>
    <w:p w14:paraId="7B3EE8B1">
      <w:pPr>
        <w:ind w:firstLine="643" w:firstLineChars="200"/>
        <w:rPr>
          <w:rFonts w:ascii="仿宋" w:hAnsi="仿宋" w:eastAsia="仿宋"/>
          <w:color w:val="auto"/>
          <w:sz w:val="32"/>
          <w:szCs w:val="32"/>
        </w:rPr>
      </w:pPr>
      <w:r>
        <w:rPr>
          <w:rFonts w:hint="eastAsia" w:ascii="楷体_GB2312" w:hAnsi="楷体_GB2312" w:eastAsia="楷体_GB2312" w:cs="楷体_GB2312"/>
          <w:b/>
          <w:bCs/>
          <w:color w:val="auto"/>
          <w:sz w:val="32"/>
          <w:szCs w:val="32"/>
        </w:rPr>
        <w:t>（四）加强中期管理。</w:t>
      </w:r>
      <w:r>
        <w:rPr>
          <w:rFonts w:hint="eastAsia" w:ascii="仿宋" w:hAnsi="仿宋" w:eastAsia="仿宋"/>
          <w:color w:val="auto"/>
          <w:sz w:val="32"/>
          <w:szCs w:val="32"/>
        </w:rPr>
        <w:t>明确课题组负责人要做好课题的管理工作，增加重点课题在结题前要由省注协对口联系部门对课题提出修改完善意见，并将课题组对反馈意见的采纳情况作为课题结项的重要因素，加强</w:t>
      </w:r>
      <w:r>
        <w:rPr>
          <w:rFonts w:hint="eastAsia" w:ascii="仿宋" w:hAnsi="仿宋" w:eastAsia="仿宋"/>
          <w:color w:val="auto"/>
          <w:sz w:val="32"/>
          <w:szCs w:val="32"/>
          <w:lang w:val="en-US" w:eastAsia="zh-CN"/>
        </w:rPr>
        <w:t>对</w:t>
      </w:r>
      <w:r>
        <w:rPr>
          <w:rFonts w:hint="eastAsia" w:ascii="仿宋" w:hAnsi="仿宋" w:eastAsia="仿宋"/>
          <w:color w:val="auto"/>
          <w:sz w:val="32"/>
          <w:szCs w:val="32"/>
        </w:rPr>
        <w:t>课题的期中管理。</w:t>
      </w:r>
    </w:p>
    <w:p w14:paraId="5E1E0993">
      <w:pPr>
        <w:ind w:firstLine="643" w:firstLineChars="200"/>
        <w:rPr>
          <w:rFonts w:hint="eastAsia" w:ascii="仿宋_GB2312" w:eastAsia="仿宋_GB2312"/>
          <w:color w:val="auto"/>
          <w:sz w:val="32"/>
          <w:szCs w:val="32"/>
          <w:lang w:eastAsia="zh-CN"/>
        </w:rPr>
      </w:pPr>
      <w:r>
        <w:rPr>
          <w:rFonts w:hint="eastAsia" w:ascii="楷体_GB2312" w:hAnsi="楷体_GB2312" w:eastAsia="楷体_GB2312" w:cs="楷体_GB2312"/>
          <w:b/>
          <w:bCs/>
          <w:color w:val="auto"/>
          <w:sz w:val="32"/>
          <w:szCs w:val="32"/>
        </w:rPr>
        <w:t>（五）拓宽成果运用渠道。</w:t>
      </w:r>
      <w:r>
        <w:rPr>
          <w:rFonts w:hint="eastAsia" w:ascii="仿宋" w:hAnsi="仿宋" w:eastAsia="仿宋"/>
          <w:color w:val="auto"/>
          <w:sz w:val="32"/>
          <w:szCs w:val="32"/>
          <w:lang w:val="en-US" w:eastAsia="zh-CN"/>
        </w:rPr>
        <w:t>经与省内科研机构、学会、高校及三家国家会计学院沟通，暨大、北京国家会计学院、省财政厅科研所、省会计学会均同意省注协课题择优向其学术性刊物、智库平台推荐择优采用，其中北京国家会计学院与省注协签订合作框架协议后，可以择优在“国会智库”、“中国会计案例中心”等平台上刊登。</w:t>
      </w:r>
      <w:r>
        <w:rPr>
          <w:rFonts w:hint="eastAsia" w:ascii="仿宋_GB2312" w:hAnsi="仿宋_GB2312" w:eastAsia="仿宋_GB2312" w:cs="仿宋_GB2312"/>
          <w:color w:val="auto"/>
          <w:sz w:val="32"/>
          <w:szCs w:val="32"/>
        </w:rPr>
        <w:t>经省注协组织专家评审通过准予结题的课题，符合《广东省会计人员职称评价标准条件》第十九条、二十四条</w:t>
      </w:r>
      <w:r>
        <w:rPr>
          <w:rFonts w:hint="eastAsia" w:ascii="仿宋_GB2312" w:hAnsi="仿宋_GB2312" w:eastAsia="仿宋_GB2312" w:cs="仿宋_GB2312"/>
          <w:color w:val="auto"/>
          <w:sz w:val="32"/>
          <w:szCs w:val="32"/>
          <w:lang w:eastAsia="zh-CN"/>
        </w:rPr>
        <w:t>等相</w:t>
      </w:r>
      <w:r>
        <w:rPr>
          <w:rFonts w:hint="eastAsia" w:ascii="仿宋_GB2312" w:hAnsi="仿宋_GB2312" w:eastAsia="仿宋_GB2312" w:cs="仿宋_GB2312"/>
          <w:color w:val="auto"/>
          <w:sz w:val="32"/>
          <w:szCs w:val="32"/>
        </w:rPr>
        <w:t>关规定的，可作为申报</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高（正高）级会计师职称评审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理论研究成果</w:t>
      </w:r>
      <w:r>
        <w:rPr>
          <w:rFonts w:hint="eastAsia" w:ascii="仿宋_GB2312" w:hAnsi="仿宋_GB2312" w:eastAsia="仿宋_GB2312" w:cs="仿宋_GB2312"/>
          <w:color w:val="auto"/>
          <w:sz w:val="32"/>
          <w:szCs w:val="32"/>
          <w:lang w:eastAsia="zh-CN"/>
        </w:rPr>
        <w:t>。</w:t>
      </w:r>
    </w:p>
    <w:p w14:paraId="64AFFD89">
      <w:pPr>
        <w:ind w:firstLine="643" w:firstLineChars="200"/>
        <w:rPr>
          <w:rFonts w:hint="eastAsia" w:ascii="仿宋" w:hAnsi="仿宋" w:eastAsia="仿宋"/>
          <w:color w:val="auto"/>
          <w:sz w:val="32"/>
          <w:szCs w:val="32"/>
          <w:lang w:val="en-US" w:eastAsia="zh-CN"/>
        </w:rPr>
      </w:pPr>
      <w:r>
        <w:rPr>
          <w:rFonts w:hint="eastAsia" w:ascii="楷体_GB2312" w:hAnsi="楷体_GB2312" w:eastAsia="楷体_GB2312" w:cs="楷体_GB2312"/>
          <w:b/>
          <w:bCs/>
          <w:color w:val="auto"/>
          <w:sz w:val="32"/>
          <w:szCs w:val="32"/>
          <w:lang w:val="en-US" w:eastAsia="zh-CN"/>
        </w:rPr>
        <w:t>（六）单列青年课题。</w:t>
      </w:r>
      <w:r>
        <w:rPr>
          <w:rFonts w:hint="eastAsia" w:ascii="仿宋" w:hAnsi="仿宋" w:eastAsia="仿宋"/>
          <w:color w:val="auto"/>
          <w:sz w:val="32"/>
          <w:szCs w:val="32"/>
          <w:lang w:val="en-US" w:eastAsia="zh-CN"/>
        </w:rPr>
        <w:t>在行业重点研究课题和自主研究课题的基础上，增设青年课题，适当放宽青年课题负责人的课题申报条件，以培养行业青年研究人才储备力量。</w:t>
      </w:r>
    </w:p>
    <w:p w14:paraId="004D8FE7">
      <w:pPr>
        <w:pStyle w:val="4"/>
        <w:numPr>
          <w:ilvl w:val="0"/>
          <w:numId w:val="0"/>
        </w:numPr>
        <w:ind w:left="1365" w:leftChars="0" w:hanging="72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三、征求意见采纳情况</w:t>
      </w:r>
    </w:p>
    <w:p w14:paraId="6572CB72">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《课题办法》</w:t>
      </w:r>
      <w:r>
        <w:rPr>
          <w:rFonts w:hint="eastAsia" w:ascii="仿宋" w:hAnsi="仿宋" w:eastAsia="仿宋"/>
          <w:color w:val="auto"/>
          <w:sz w:val="32"/>
          <w:szCs w:val="32"/>
          <w:lang w:val="en-US" w:eastAsia="zh-CN"/>
        </w:rPr>
        <w:t>向省财政厅会计处、省财政厅科研所、省注协部分常务理事、市注协、战略发展委员会、专业指导委员会征求意见，共收集60条反馈意见，已采纳34条，综合采纳17条，在今后实际工作中落实的建议6条，暂时未能在本次修订中采纳的建议3条。</w:t>
      </w:r>
      <w:bookmarkStart w:id="0" w:name="_GoBack"/>
      <w:bookmarkEnd w:id="0"/>
    </w:p>
    <w:p w14:paraId="212E7A76">
      <w:pPr>
        <w:rPr>
          <w:color w:val="auto"/>
        </w:rPr>
      </w:pPr>
    </w:p>
    <w:p w14:paraId="086B43CE">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18"/>
    <w:rsid w:val="001119B8"/>
    <w:rsid w:val="00143418"/>
    <w:rsid w:val="001A1F17"/>
    <w:rsid w:val="006C054E"/>
    <w:rsid w:val="00783563"/>
    <w:rsid w:val="00890876"/>
    <w:rsid w:val="00A87B02"/>
    <w:rsid w:val="00B06C03"/>
    <w:rsid w:val="00D507FE"/>
    <w:rsid w:val="00DF3044"/>
    <w:rsid w:val="00E17434"/>
    <w:rsid w:val="00E34A81"/>
    <w:rsid w:val="00F44281"/>
    <w:rsid w:val="0C264D9E"/>
    <w:rsid w:val="12386771"/>
    <w:rsid w:val="1417554F"/>
    <w:rsid w:val="16225260"/>
    <w:rsid w:val="28B73C9F"/>
    <w:rsid w:val="2C6426F1"/>
    <w:rsid w:val="2D8E177C"/>
    <w:rsid w:val="30F66926"/>
    <w:rsid w:val="37D270A9"/>
    <w:rsid w:val="380A6AB4"/>
    <w:rsid w:val="38233F89"/>
    <w:rsid w:val="42BC698B"/>
    <w:rsid w:val="432E7BA4"/>
    <w:rsid w:val="497B2B4C"/>
    <w:rsid w:val="55517407"/>
    <w:rsid w:val="5AE633C8"/>
    <w:rsid w:val="5BC87CF7"/>
    <w:rsid w:val="5DAA2163"/>
    <w:rsid w:val="67F66218"/>
    <w:rsid w:val="78741548"/>
    <w:rsid w:val="7E82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1392</Words>
  <Characters>1400</Characters>
  <Lines>5</Lines>
  <Paragraphs>1</Paragraphs>
  <TotalTime>4</TotalTime>
  <ScaleCrop>false</ScaleCrop>
  <LinksUpToDate>false</LinksUpToDate>
  <CharactersWithSpaces>1403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2025-06-24T10:34:00Z</dcterms:created>
  <dc:creator>林翔</dc:creator>
  <cp:lastModifiedBy>朱怡豪</cp:lastModifiedBy>
  <cp:lastPrinted>2025-08-11T06:29:00Z</cp:lastPrinted>
  <dcterms:modified xsi:type="dcterms:W3CDTF">2025-08-20T06:49:29Z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eyJoZGlkIjoiOTIzZjIwNTc3OTA2ZTg5ZDQwNzM0OTUzNGE1MDVkZTIiLCJ1c2VySWQiOiIxNTQ5MzY1MzMyIn0=</vt:lpwstr>
  </property>
  <property fmtid="{D5CDD505-2E9C-101B-9397-08002B2CF9AE}" pid="3" name="KSOProductBuildVer">
    <vt:lpwstr>2052-12.1.0.21915</vt:lpwstr>
  </property>
  <property fmtid="{D5CDD505-2E9C-101B-9397-08002B2CF9AE}" pid="4" name="ICV">
    <vt:lpwstr>80D703C62C1A4CA79BA1A445AA217901_13</vt:lpwstr>
  </property>
</Properties>
</file>