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16" w:rsidRDefault="004E304E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421BA">
        <w:rPr>
          <w:rFonts w:ascii="黑体" w:eastAsia="黑体" w:hAnsi="黑体" w:hint="eastAsia"/>
          <w:sz w:val="32"/>
          <w:szCs w:val="32"/>
        </w:rPr>
        <w:t>1</w:t>
      </w:r>
    </w:p>
    <w:p w:rsidR="00251D16" w:rsidRDefault="004E304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E421BA"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年度广东省具有内部培训资格</w:t>
      </w:r>
    </w:p>
    <w:p w:rsidR="00251D16" w:rsidRDefault="004E304E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会计师事务所名单</w:t>
      </w:r>
    </w:p>
    <w:p w:rsidR="00251D16" w:rsidRDefault="004E304E">
      <w:pPr>
        <w:spacing w:line="64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（排名不分先后）</w:t>
      </w:r>
    </w:p>
    <w:p w:rsidR="00E421BA" w:rsidRDefault="00E421BA">
      <w:pPr>
        <w:spacing w:line="640" w:lineRule="exact"/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7796"/>
      </w:tblGrid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Default="004E304E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Default="004E304E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会计师事务所名称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 w:colFirst="0" w:colLast="1"/>
            <w:r w:rsidRPr="006B78A3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安礼华粤（广东）会计师事务所（特殊普通合伙）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毕马威华振会计师事务所（特殊普通合伙）广州分所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广东诚安信会计师事务所（特殊普通合伙）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广东岭南智华会计师事务所（特殊普通合伙）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广东司农会计师事务所（特殊普通合伙）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广东中恒信会计师事务所（特殊普通合伙）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广东中天粤会计师事务所（特殊普通合伙）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广东中职信会计师事务所（特殊普通合伙）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华兴会计师事务所（</w:t>
            </w:r>
            <w:r w:rsidRPr="006B78A3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特殊普通合伙</w:t>
            </w: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）</w:t>
            </w:r>
            <w:r w:rsidRPr="006B78A3"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  <w:t>广东分所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 w:rsidP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立信会计师事务所（特殊普通合伙）广东分所</w:t>
            </w:r>
          </w:p>
        </w:tc>
      </w:tr>
      <w:tr w:rsidR="00251D16" w:rsidTr="00E421BA">
        <w:trPr>
          <w:trHeight w:val="737"/>
          <w:jc w:val="center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4E304E" w:rsidP="00EF3B78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B78A3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16" w:rsidRPr="006B78A3" w:rsidRDefault="00E421B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6B78A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天健会计师事务所（特殊普通合伙）广东分所</w:t>
            </w:r>
          </w:p>
        </w:tc>
      </w:tr>
      <w:bookmarkEnd w:id="0"/>
    </w:tbl>
    <w:p w:rsidR="00251D16" w:rsidRDefault="00251D16">
      <w:pPr>
        <w:rPr>
          <w:rFonts w:ascii="仿宋_GB2312" w:eastAsia="仿宋_GB2312"/>
          <w:sz w:val="32"/>
          <w:szCs w:val="32"/>
        </w:rPr>
      </w:pPr>
    </w:p>
    <w:sectPr w:rsidR="0025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CF" w:rsidRDefault="00294CCF" w:rsidP="00E421BA">
      <w:r>
        <w:separator/>
      </w:r>
    </w:p>
  </w:endnote>
  <w:endnote w:type="continuationSeparator" w:id="0">
    <w:p w:rsidR="00294CCF" w:rsidRDefault="00294CCF" w:rsidP="00E4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CF" w:rsidRDefault="00294CCF" w:rsidP="00E421BA">
      <w:r>
        <w:separator/>
      </w:r>
    </w:p>
  </w:footnote>
  <w:footnote w:type="continuationSeparator" w:id="0">
    <w:p w:rsidR="00294CCF" w:rsidRDefault="00294CCF" w:rsidP="00E42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9F"/>
    <w:rsid w:val="000323C4"/>
    <w:rsid w:val="001A6B27"/>
    <w:rsid w:val="00251D16"/>
    <w:rsid w:val="00294CCF"/>
    <w:rsid w:val="004E304E"/>
    <w:rsid w:val="005E62AC"/>
    <w:rsid w:val="006B78A3"/>
    <w:rsid w:val="007B2D9F"/>
    <w:rsid w:val="007C3896"/>
    <w:rsid w:val="00963830"/>
    <w:rsid w:val="00992264"/>
    <w:rsid w:val="009A4CA8"/>
    <w:rsid w:val="00D90823"/>
    <w:rsid w:val="00E421BA"/>
    <w:rsid w:val="00EE1F5D"/>
    <w:rsid w:val="00EF3B78"/>
    <w:rsid w:val="39E3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DA265A-7BA8-4470-9115-682A98E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三级标题"/>
    <w:basedOn w:val="a"/>
    <w:link w:val="a8"/>
    <w:qFormat/>
    <w:pPr>
      <w:ind w:firstLineChars="200" w:firstLine="643"/>
    </w:pPr>
    <w:rPr>
      <w:b/>
      <w:szCs w:val="32"/>
    </w:rPr>
  </w:style>
  <w:style w:type="character" w:customStyle="1" w:styleId="a8">
    <w:name w:val="三级标题 字符"/>
    <w:basedOn w:val="a0"/>
    <w:link w:val="a7"/>
    <w:rPr>
      <w:rFonts w:eastAsia="仿宋_GB2312"/>
      <w:b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林伊洵</dc:creator>
  <cp:lastModifiedBy>林伊洵</cp:lastModifiedBy>
  <cp:revision>5</cp:revision>
  <dcterms:created xsi:type="dcterms:W3CDTF">2023-07-05T07:52:00Z</dcterms:created>
  <dcterms:modified xsi:type="dcterms:W3CDTF">2024-07-18T02:44:00Z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3F30522FB15448749CEFC245A6AA6FF9</vt:lpwstr>
  </property>
</Properties>
</file>